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3E439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9471E2D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85D520E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F21B549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1B346EF7" w14:textId="77777777" w:rsidR="00AB4C7F" w:rsidRDefault="00AB4C7F" w:rsidP="00AB4C7F">
      <w:pPr>
        <w:spacing w:after="0" w:line="240" w:lineRule="auto"/>
        <w:rPr>
          <w:rFonts w:ascii="Times New Roman" w:hAnsi="Times New Roman" w:cs="Times New Roman"/>
        </w:rPr>
      </w:pPr>
    </w:p>
    <w:p w14:paraId="4591AB1C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ELABORACIÓN DE INFORME 5</w:t>
      </w:r>
    </w:p>
    <w:p w14:paraId="005E1F8D" w14:textId="77777777" w:rsidR="00AB4C7F" w:rsidRDefault="00AB4C7F" w:rsidP="00AB4C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ED178D" w14:textId="77777777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63AD3FF5" w14:textId="77777777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 los alumnos:</w:t>
      </w:r>
    </w:p>
    <w:p w14:paraId="4ADB691B" w14:textId="77777777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F1762" w14:textId="076D9F0D" w:rsidR="00AB4C7F" w:rsidRP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PROBLEMA 1: Espectros de complejos metal - </w:t>
      </w:r>
      <w:proofErr w:type="spellStart"/>
      <w:r>
        <w:rPr>
          <w:rFonts w:ascii="Times New Roman" w:hAnsi="Times New Roman" w:cs="Times New Roman"/>
          <w:b/>
          <w:bCs/>
        </w:rPr>
        <w:t>etiléndiamina</w:t>
      </w:r>
      <w:proofErr w:type="spellEnd"/>
    </w:p>
    <w:p w14:paraId="4A9BD4D8" w14:textId="77777777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5BFAD6" w14:textId="391D07BD" w:rsidR="00AB4C7F" w:rsidRPr="007419D7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Presente en un solo gráfico los espectros de las diferentes disoluciones donde se mezcló una cantidad de catión metálico con cantidades variables de </w:t>
      </w:r>
      <w:proofErr w:type="spellStart"/>
      <w:r>
        <w:rPr>
          <w:rFonts w:ascii="Times New Roman" w:hAnsi="Times New Roman" w:cs="Times New Roman"/>
        </w:rPr>
        <w:t>etiléndiamina</w:t>
      </w:r>
      <w:proofErr w:type="spellEnd"/>
      <w:r>
        <w:rPr>
          <w:rFonts w:ascii="Times New Roman" w:hAnsi="Times New Roman" w:cs="Times New Roman"/>
        </w:rPr>
        <w:t xml:space="preserve"> como ligante.</w:t>
      </w:r>
      <w:r w:rsidR="007419D7">
        <w:rPr>
          <w:rFonts w:ascii="Times New Roman" w:hAnsi="Times New Roman" w:cs="Times New Roman"/>
        </w:rPr>
        <w:t xml:space="preserve"> Se realiza para las dos series estudiadas (Con Cu</w:t>
      </w:r>
      <w:r w:rsidR="007419D7">
        <w:rPr>
          <w:rFonts w:ascii="Times New Roman" w:hAnsi="Times New Roman" w:cs="Times New Roman"/>
          <w:vertAlign w:val="superscript"/>
        </w:rPr>
        <w:t>2+</w:t>
      </w:r>
      <w:r w:rsidR="007419D7">
        <w:rPr>
          <w:rFonts w:ascii="Times New Roman" w:hAnsi="Times New Roman" w:cs="Times New Roman"/>
        </w:rPr>
        <w:t xml:space="preserve"> y con Ni</w:t>
      </w:r>
      <w:r w:rsidR="007419D7">
        <w:rPr>
          <w:rFonts w:ascii="Times New Roman" w:hAnsi="Times New Roman" w:cs="Times New Roman"/>
          <w:vertAlign w:val="superscript"/>
        </w:rPr>
        <w:t>2+</w:t>
      </w:r>
      <w:r w:rsidR="007419D7">
        <w:rPr>
          <w:rFonts w:ascii="Times New Roman" w:hAnsi="Times New Roman" w:cs="Times New Roman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4C7F" w14:paraId="051FD4ED" w14:textId="77777777" w:rsidTr="00A812D6">
        <w:tc>
          <w:tcPr>
            <w:tcW w:w="8828" w:type="dxa"/>
          </w:tcPr>
          <w:p w14:paraId="13497BD2" w14:textId="77777777" w:rsidR="00AB4C7F" w:rsidRPr="00854C66" w:rsidRDefault="00AB4C7F" w:rsidP="00A812D6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1382CF7" w14:textId="77777777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1319D" w14:textId="29BEA12C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Hay una absorción en </w:t>
      </w:r>
      <w:r w:rsidR="006F114A">
        <w:rPr>
          <w:rFonts w:ascii="Times New Roman" w:hAnsi="Times New Roman" w:cs="Times New Roman"/>
        </w:rPr>
        <w:t xml:space="preserve">la región visible para estos complejos que se recorre a medida que aumenta </w:t>
      </w:r>
      <w:r w:rsidR="006F114A" w:rsidRPr="006F114A">
        <w:rPr>
          <w:rFonts w:ascii="Times New Roman" w:hAnsi="Times New Roman" w:cs="Times New Roman"/>
        </w:rPr>
        <w:t xml:space="preserve">la proporción de </w:t>
      </w:r>
      <w:proofErr w:type="spellStart"/>
      <w:r w:rsidR="006F114A" w:rsidRPr="006F114A">
        <w:rPr>
          <w:rFonts w:ascii="Times New Roman" w:hAnsi="Times New Roman" w:cs="Times New Roman"/>
        </w:rPr>
        <w:t>etiléndiamina</w:t>
      </w:r>
      <w:proofErr w:type="spellEnd"/>
      <w:r w:rsidRPr="006F114A">
        <w:rPr>
          <w:rFonts w:ascii="Times New Roman" w:hAnsi="Times New Roman" w:cs="Times New Roman"/>
        </w:rPr>
        <w:t>.</w:t>
      </w:r>
    </w:p>
    <w:p w14:paraId="1139E1B7" w14:textId="1989513E" w:rsidR="007419D7" w:rsidRPr="006F114A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Señale en todos los espectros dicha señal.</w:t>
      </w:r>
    </w:p>
    <w:p w14:paraId="064EDFD8" w14:textId="159A6B4D" w:rsidR="006F114A" w:rsidRPr="006F114A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F114A" w:rsidRPr="006F114A">
        <w:rPr>
          <w:rFonts w:ascii="Times New Roman" w:hAnsi="Times New Roman" w:cs="Times New Roman"/>
        </w:rPr>
        <w:t>) ¿Hacia dónde ocurre el desplazamiento de la señal de absorción?</w:t>
      </w:r>
    </w:p>
    <w:p w14:paraId="6BA7CF11" w14:textId="2D862B2F" w:rsidR="006F114A" w:rsidRPr="006F114A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F114A" w:rsidRPr="006F114A">
        <w:rPr>
          <w:rFonts w:ascii="Times New Roman" w:hAnsi="Times New Roman" w:cs="Times New Roman"/>
        </w:rPr>
        <w:t>) ¿Cómo se puede explicar que ocurra dicho desplazamiento e</w:t>
      </w:r>
      <w:r>
        <w:rPr>
          <w:rFonts w:ascii="Times New Roman" w:hAnsi="Times New Roman" w:cs="Times New Roman"/>
        </w:rPr>
        <w:t>n</w:t>
      </w:r>
      <w:r w:rsidR="006F114A" w:rsidRPr="006F114A">
        <w:rPr>
          <w:rFonts w:ascii="Times New Roman" w:hAnsi="Times New Roman" w:cs="Times New Roman"/>
        </w:rPr>
        <w:t xml:space="preserve"> la dirección que ocurre?</w:t>
      </w:r>
    </w:p>
    <w:p w14:paraId="3F4330E6" w14:textId="0F337B00" w:rsidR="006F114A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F114A" w:rsidRPr="006F114A">
        <w:rPr>
          <w:rFonts w:ascii="Times New Roman" w:hAnsi="Times New Roman" w:cs="Times New Roman"/>
        </w:rPr>
        <w:t>) ¿El desplazamiento de la señal de absorción coincide con el cambio de color que se observó en las disoluciones? Argumente brevemente.</w:t>
      </w:r>
    </w:p>
    <w:p w14:paraId="200F2706" w14:textId="77777777" w:rsidR="007419D7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1C0F9" w14:textId="6F5AA15F" w:rsidR="007419D7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</w:rPr>
        <w:t>Para cada catión metálico indique</w:t>
      </w:r>
      <w:r>
        <w:rPr>
          <w:rFonts w:ascii="Times New Roman" w:hAnsi="Times New Roman" w:cs="Times New Roman"/>
        </w:rPr>
        <w:t>:</w:t>
      </w:r>
    </w:p>
    <w:p w14:paraId="45026912" w14:textId="2518A0D6" w:rsidR="007419D7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La disolución a partir de la cual la longitud de onda del máximo de la absorción en el visible deja de desplazarse (permanece constante).</w:t>
      </w:r>
    </w:p>
    <w:p w14:paraId="62681A09" w14:textId="767F6897" w:rsidR="007419D7" w:rsidRPr="006F114A" w:rsidRDefault="007419D7" w:rsidP="00AB4C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conclusión se obtiene del hecho anterior?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4C7F" w14:paraId="669109C1" w14:textId="77777777" w:rsidTr="00A812D6">
        <w:tc>
          <w:tcPr>
            <w:tcW w:w="8828" w:type="dxa"/>
          </w:tcPr>
          <w:p w14:paraId="35D925EF" w14:textId="77777777" w:rsidR="00AB4C7F" w:rsidRPr="00854C66" w:rsidRDefault="00AB4C7F" w:rsidP="00A812D6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5301956" w14:textId="07B17006" w:rsidR="00AB4C7F" w:rsidRDefault="00AB4C7F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E0367" w14:textId="205693CF" w:rsidR="006F114A" w:rsidRDefault="006F114A" w:rsidP="006F11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¿Qué ocurre con la absortividad molar límite de los complejos de metal – </w:t>
      </w:r>
      <w:proofErr w:type="spellStart"/>
      <w:r>
        <w:rPr>
          <w:rFonts w:ascii="Times New Roman" w:hAnsi="Times New Roman" w:cs="Times New Roman"/>
        </w:rPr>
        <w:t>etiléndiamina</w:t>
      </w:r>
      <w:proofErr w:type="spellEnd"/>
      <w:r>
        <w:rPr>
          <w:rFonts w:ascii="Times New Roman" w:hAnsi="Times New Roman" w:cs="Times New Roman"/>
        </w:rPr>
        <w:t>?, ¿Cuál es su variación a medida que aumenta la proporción de ligante?</w:t>
      </w:r>
    </w:p>
    <w:p w14:paraId="3471400C" w14:textId="0A542644" w:rsidR="006F114A" w:rsidRDefault="006F114A" w:rsidP="006F11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63BCC">
        <w:rPr>
          <w:rFonts w:ascii="Times New Roman" w:hAnsi="Times New Roman" w:cs="Times New Roman"/>
        </w:rPr>
        <w:t xml:space="preserve">) </w:t>
      </w:r>
      <w:r w:rsidR="00A42699">
        <w:rPr>
          <w:rFonts w:ascii="Times New Roman" w:hAnsi="Times New Roman" w:cs="Times New Roman"/>
        </w:rPr>
        <w:t xml:space="preserve">De acuerdo con lo anterior, ¿Cuál complejo tiene mayor absortividad, el complejo </w:t>
      </w:r>
      <w:proofErr w:type="spellStart"/>
      <w:r w:rsidR="00A42699">
        <w:rPr>
          <w:rFonts w:ascii="Times New Roman" w:hAnsi="Times New Roman" w:cs="Times New Roman"/>
          <w:i/>
          <w:iCs/>
        </w:rPr>
        <w:t>acuo</w:t>
      </w:r>
      <w:proofErr w:type="spellEnd"/>
      <w:r w:rsidR="00A42699">
        <w:rPr>
          <w:rFonts w:ascii="Times New Roman" w:hAnsi="Times New Roman" w:cs="Times New Roman"/>
        </w:rPr>
        <w:t xml:space="preserve"> o el complejo </w:t>
      </w:r>
      <w:proofErr w:type="spellStart"/>
      <w:r w:rsidR="00A42699">
        <w:rPr>
          <w:rFonts w:ascii="Times New Roman" w:hAnsi="Times New Roman" w:cs="Times New Roman"/>
          <w:i/>
          <w:iCs/>
        </w:rPr>
        <w:t>etilendiamín</w:t>
      </w:r>
      <w:proofErr w:type="spellEnd"/>
      <w:r w:rsidR="00A42699">
        <w:rPr>
          <w:rFonts w:ascii="Times New Roman" w:hAnsi="Times New Roman" w:cs="Times New Roman"/>
        </w:rPr>
        <w:t>?</w:t>
      </w:r>
    </w:p>
    <w:p w14:paraId="594CC296" w14:textId="43FFBBEF" w:rsidR="00A42699" w:rsidRPr="00A42699" w:rsidRDefault="00A42699" w:rsidP="006F11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  <w:b/>
          <w:bCs/>
          <w:color w:val="C00000"/>
        </w:rPr>
        <w:t>¿Por qué el complejo anterior presenta la mayor absortividad molar?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114A" w14:paraId="3E7C0062" w14:textId="77777777" w:rsidTr="00A812D6">
        <w:tc>
          <w:tcPr>
            <w:tcW w:w="8828" w:type="dxa"/>
          </w:tcPr>
          <w:p w14:paraId="0CA55A0B" w14:textId="77777777" w:rsidR="006F114A" w:rsidRPr="00854C66" w:rsidRDefault="006F114A" w:rsidP="00A812D6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D234310" w14:textId="77777777" w:rsidR="006F114A" w:rsidRDefault="006F114A" w:rsidP="00AB4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AF151" w14:textId="3F0C2725" w:rsidR="00AB4C7F" w:rsidRDefault="008F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PROBLEMA 2: </w:t>
      </w:r>
      <w:r w:rsidR="007419D7">
        <w:rPr>
          <w:rFonts w:ascii="Times New Roman" w:hAnsi="Times New Roman" w:cs="Times New Roman"/>
          <w:b/>
          <w:bCs/>
        </w:rPr>
        <w:t>Cationes metálicos en dos disolventes distintos.</w:t>
      </w:r>
    </w:p>
    <w:p w14:paraId="61C2C5A2" w14:textId="77777777" w:rsidR="007419D7" w:rsidRDefault="008F18D2" w:rsidP="0066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7419D7">
        <w:rPr>
          <w:rFonts w:ascii="Times New Roman" w:hAnsi="Times New Roman" w:cs="Times New Roman"/>
        </w:rPr>
        <w:t>Para cobre y cobalto divalentes, compare sus espectros obtenidos en agua y acetona.</w:t>
      </w:r>
    </w:p>
    <w:p w14:paraId="326172E1" w14:textId="77777777" w:rsidR="007419D7" w:rsidRDefault="007419D7" w:rsidP="0066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Suponiendo que el disolvente se coordina a los cationes, ¿Cuál de ellos se comporta como ligante de campo más fuerte o débil?</w:t>
      </w:r>
    </w:p>
    <w:p w14:paraId="05B87B2E" w14:textId="77777777" w:rsidR="007419D7" w:rsidRDefault="007419D7" w:rsidP="0066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puede justificar lo anterior?</w:t>
      </w:r>
    </w:p>
    <w:p w14:paraId="49C2B716" w14:textId="77777777" w:rsidR="007419D7" w:rsidRDefault="007419D7" w:rsidP="0066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Calcule la absortividad molar límite de los complejos con agua y acetona.</w:t>
      </w:r>
    </w:p>
    <w:p w14:paraId="3BD3176D" w14:textId="167252CE" w:rsidR="00661C91" w:rsidRPr="006F114A" w:rsidRDefault="007419D7" w:rsidP="0066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7419D7">
        <w:rPr>
          <w:rFonts w:ascii="Times New Roman" w:hAnsi="Times New Roman" w:cs="Times New Roman"/>
          <w:b/>
          <w:bCs/>
          <w:color w:val="FF0000"/>
        </w:rPr>
        <w:t>¿Por qué en un disolvente la absortividad molar es francamente mayor que en otro?</w:t>
      </w:r>
      <w:r w:rsidR="00661C91" w:rsidRPr="00661C91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C91" w14:paraId="43C2D85A" w14:textId="77777777" w:rsidTr="00A812D6">
        <w:tc>
          <w:tcPr>
            <w:tcW w:w="8828" w:type="dxa"/>
          </w:tcPr>
          <w:p w14:paraId="2C368CC3" w14:textId="77777777" w:rsidR="00661C91" w:rsidRPr="00854C66" w:rsidRDefault="00661C91" w:rsidP="00A812D6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274CAE8" w14:textId="4F83797D" w:rsidR="00661C91" w:rsidRDefault="00661C91" w:rsidP="002C3A66">
      <w:pPr>
        <w:jc w:val="both"/>
        <w:rPr>
          <w:rFonts w:ascii="Times New Roman" w:hAnsi="Times New Roman" w:cs="Times New Roman"/>
        </w:rPr>
      </w:pPr>
    </w:p>
    <w:p w14:paraId="1A881131" w14:textId="77777777" w:rsidR="008F18D2" w:rsidRPr="008F18D2" w:rsidRDefault="008F18D2">
      <w:pPr>
        <w:rPr>
          <w:rFonts w:ascii="Times New Roman" w:hAnsi="Times New Roman" w:cs="Times New Roman"/>
        </w:rPr>
      </w:pPr>
    </w:p>
    <w:sectPr w:rsidR="008F18D2" w:rsidRPr="008F1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F"/>
    <w:rsid w:val="000A539B"/>
    <w:rsid w:val="002C3A66"/>
    <w:rsid w:val="00661C91"/>
    <w:rsid w:val="006F114A"/>
    <w:rsid w:val="007419D7"/>
    <w:rsid w:val="008F18D2"/>
    <w:rsid w:val="00A42699"/>
    <w:rsid w:val="00AB4C7F"/>
    <w:rsid w:val="00C63BCC"/>
    <w:rsid w:val="00F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B24A"/>
  <w15:chartTrackingRefBased/>
  <w15:docId w15:val="{94247864-4E10-4C67-83C1-AD58D34C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7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C7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2</cp:revision>
  <dcterms:created xsi:type="dcterms:W3CDTF">2022-05-05T03:09:00Z</dcterms:created>
  <dcterms:modified xsi:type="dcterms:W3CDTF">2022-10-24T13:18:00Z</dcterms:modified>
</cp:coreProperties>
</file>